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D2A7" w14:textId="7C07E264" w:rsidR="009C10A5" w:rsidRPr="00966728" w:rsidRDefault="00EF20BB" w:rsidP="00EF20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6728">
        <w:rPr>
          <w:rFonts w:ascii="Times New Roman" w:hAnsi="Times New Roman" w:cs="Times New Roman"/>
          <w:b/>
          <w:bCs/>
          <w:sz w:val="32"/>
          <w:szCs w:val="32"/>
        </w:rPr>
        <w:t>喜讯：我司参编</w:t>
      </w:r>
      <w:r w:rsidRPr="00966728">
        <w:rPr>
          <w:rFonts w:ascii="Times New Roman" w:hAnsi="Times New Roman" w:cs="Times New Roman"/>
          <w:b/>
          <w:bCs/>
          <w:sz w:val="32"/>
          <w:szCs w:val="32"/>
        </w:rPr>
        <w:t>CECS</w:t>
      </w:r>
      <w:r w:rsidRPr="00966728">
        <w:rPr>
          <w:rFonts w:ascii="Times New Roman" w:hAnsi="Times New Roman" w:cs="Times New Roman"/>
          <w:b/>
          <w:bCs/>
          <w:sz w:val="32"/>
          <w:szCs w:val="32"/>
        </w:rPr>
        <w:t>标准《生活污水移动床生物膜（</w:t>
      </w:r>
      <w:r w:rsidRPr="00966728">
        <w:rPr>
          <w:rFonts w:ascii="Times New Roman" w:hAnsi="Times New Roman" w:cs="Times New Roman"/>
          <w:b/>
          <w:bCs/>
          <w:sz w:val="32"/>
          <w:szCs w:val="32"/>
        </w:rPr>
        <w:t>MBBR</w:t>
      </w:r>
      <w:r w:rsidRPr="00966728">
        <w:rPr>
          <w:rFonts w:ascii="Times New Roman" w:hAnsi="Times New Roman" w:cs="Times New Roman"/>
          <w:b/>
          <w:bCs/>
          <w:sz w:val="32"/>
          <w:szCs w:val="32"/>
        </w:rPr>
        <w:t>）一体化</w:t>
      </w:r>
      <w:r w:rsidRPr="0096672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66728">
        <w:rPr>
          <w:rFonts w:ascii="Times New Roman" w:hAnsi="Times New Roman" w:cs="Times New Roman"/>
          <w:b/>
          <w:bCs/>
          <w:sz w:val="32"/>
          <w:szCs w:val="32"/>
        </w:rPr>
        <w:t>处理设备》发布</w:t>
      </w:r>
    </w:p>
    <w:p w14:paraId="3CF7009E" w14:textId="2592FDDF" w:rsidR="00EF20BB" w:rsidRPr="00966728" w:rsidRDefault="00EF20BB" w:rsidP="00EF20BB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966728">
        <w:rPr>
          <w:rFonts w:ascii="Times New Roman" w:hAnsi="Times New Roman" w:cs="Times New Roman"/>
        </w:rPr>
        <w:t>近日，我司参编的</w:t>
      </w:r>
      <w:r w:rsidRPr="00966728">
        <w:rPr>
          <w:rFonts w:ascii="Times New Roman" w:hAnsi="Times New Roman" w:cs="Times New Roman"/>
        </w:rPr>
        <w:t>中国工程建设标准化协会标准《生活污水移动床生物膜（</w:t>
      </w:r>
      <w:r w:rsidRPr="00966728">
        <w:rPr>
          <w:rFonts w:ascii="Times New Roman" w:hAnsi="Times New Roman" w:cs="Times New Roman"/>
        </w:rPr>
        <w:t>MBBR</w:t>
      </w:r>
      <w:r w:rsidRPr="00966728">
        <w:rPr>
          <w:rFonts w:ascii="Times New Roman" w:hAnsi="Times New Roman" w:cs="Times New Roman"/>
        </w:rPr>
        <w:t>）一体化</w:t>
      </w:r>
      <w:r w:rsidRPr="00966728">
        <w:rPr>
          <w:rFonts w:ascii="Times New Roman" w:hAnsi="Times New Roman" w:cs="Times New Roman"/>
        </w:rPr>
        <w:t xml:space="preserve"> </w:t>
      </w:r>
      <w:r w:rsidRPr="00966728">
        <w:rPr>
          <w:rFonts w:ascii="Times New Roman" w:hAnsi="Times New Roman" w:cs="Times New Roman"/>
        </w:rPr>
        <w:t>处理设备》</w:t>
      </w:r>
      <w:r w:rsidRPr="00966728">
        <w:rPr>
          <w:rFonts w:ascii="Times New Roman" w:hAnsi="Times New Roman" w:cs="Times New Roman"/>
        </w:rPr>
        <w:t>正式</w:t>
      </w:r>
      <w:r w:rsidRPr="00966728">
        <w:rPr>
          <w:rFonts w:ascii="Times New Roman" w:hAnsi="Times New Roman" w:cs="Times New Roman"/>
        </w:rPr>
        <w:t>发布</w:t>
      </w:r>
      <w:r w:rsidRPr="00966728">
        <w:rPr>
          <w:rFonts w:ascii="Times New Roman" w:hAnsi="Times New Roman" w:cs="Times New Roman"/>
        </w:rPr>
        <w:t>，</w:t>
      </w:r>
      <w:r w:rsidRPr="00966728">
        <w:rPr>
          <w:rFonts w:ascii="Times New Roman" w:hAnsi="Times New Roman" w:cs="Times New Roman"/>
        </w:rPr>
        <w:t>编号为</w:t>
      </w:r>
      <w:r w:rsidRPr="00966728">
        <w:rPr>
          <w:rFonts w:ascii="Times New Roman" w:hAnsi="Times New Roman" w:cs="Times New Roman"/>
        </w:rPr>
        <w:t>T/CECS 10307-2023</w:t>
      </w:r>
      <w:r w:rsidRPr="00966728">
        <w:rPr>
          <w:rFonts w:ascii="Times New Roman" w:hAnsi="Times New Roman" w:cs="Times New Roman"/>
        </w:rPr>
        <w:t>，自</w:t>
      </w:r>
      <w:r w:rsidRPr="00966728">
        <w:rPr>
          <w:rFonts w:ascii="Times New Roman" w:hAnsi="Times New Roman" w:cs="Times New Roman"/>
        </w:rPr>
        <w:t>2023</w:t>
      </w:r>
      <w:r w:rsidRPr="00966728">
        <w:rPr>
          <w:rFonts w:ascii="Times New Roman" w:hAnsi="Times New Roman" w:cs="Times New Roman"/>
        </w:rPr>
        <w:t>年</w:t>
      </w:r>
      <w:r w:rsidRPr="00966728">
        <w:rPr>
          <w:rFonts w:ascii="Times New Roman" w:hAnsi="Times New Roman" w:cs="Times New Roman"/>
        </w:rPr>
        <w:t>10</w:t>
      </w:r>
      <w:r w:rsidRPr="00966728">
        <w:rPr>
          <w:rFonts w:ascii="Times New Roman" w:hAnsi="Times New Roman" w:cs="Times New Roman"/>
        </w:rPr>
        <w:t>月</w:t>
      </w:r>
      <w:r w:rsidRPr="00966728">
        <w:rPr>
          <w:rFonts w:ascii="Times New Roman" w:hAnsi="Times New Roman" w:cs="Times New Roman"/>
        </w:rPr>
        <w:t>1</w:t>
      </w:r>
      <w:r w:rsidRPr="00966728">
        <w:rPr>
          <w:rFonts w:ascii="Times New Roman" w:hAnsi="Times New Roman" w:cs="Times New Roman"/>
        </w:rPr>
        <w:t>日起施行。</w:t>
      </w:r>
    </w:p>
    <w:p w14:paraId="1DA451B4" w14:textId="77777777" w:rsidR="00EF20BB" w:rsidRPr="00966728" w:rsidRDefault="00EF20BB" w:rsidP="00EF20BB">
      <w:pPr>
        <w:spacing w:line="360" w:lineRule="auto"/>
        <w:ind w:firstLineChars="200" w:firstLine="420"/>
        <w:rPr>
          <w:rFonts w:ascii="Times New Roman" w:hAnsi="Times New Roman" w:cs="Times New Roman"/>
        </w:rPr>
      </w:pPr>
    </w:p>
    <w:p w14:paraId="635D0F62" w14:textId="326A8720" w:rsidR="00EF20BB" w:rsidRPr="00966728" w:rsidRDefault="00EF20BB">
      <w:pPr>
        <w:rPr>
          <w:rFonts w:ascii="Times New Roman" w:hAnsi="Times New Roman" w:cs="Times New Roman"/>
        </w:rPr>
      </w:pPr>
      <w:r w:rsidRPr="00966728">
        <w:rPr>
          <w:rFonts w:ascii="Times New Roman" w:hAnsi="Times New Roman" w:cs="Times New Roman"/>
        </w:rPr>
        <w:drawing>
          <wp:inline distT="0" distB="0" distL="0" distR="0" wp14:anchorId="3BCEA094" wp14:editId="123FF221">
            <wp:extent cx="5274310" cy="3152140"/>
            <wp:effectExtent l="0" t="0" r="2540" b="0"/>
            <wp:docPr id="10546393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393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0BB" w:rsidRPr="0096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5082" w14:textId="77777777" w:rsidR="008E58F6" w:rsidRDefault="008E58F6" w:rsidP="00EF20BB">
      <w:r>
        <w:separator/>
      </w:r>
    </w:p>
  </w:endnote>
  <w:endnote w:type="continuationSeparator" w:id="0">
    <w:p w14:paraId="2D7BB9E6" w14:textId="77777777" w:rsidR="008E58F6" w:rsidRDefault="008E58F6" w:rsidP="00EF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157E" w14:textId="77777777" w:rsidR="008E58F6" w:rsidRDefault="008E58F6" w:rsidP="00EF20BB">
      <w:r>
        <w:separator/>
      </w:r>
    </w:p>
  </w:footnote>
  <w:footnote w:type="continuationSeparator" w:id="0">
    <w:p w14:paraId="681E6D84" w14:textId="77777777" w:rsidR="008E58F6" w:rsidRDefault="008E58F6" w:rsidP="00EF2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E6"/>
    <w:rsid w:val="00161BE6"/>
    <w:rsid w:val="004123FA"/>
    <w:rsid w:val="008E58F6"/>
    <w:rsid w:val="00966728"/>
    <w:rsid w:val="00DA74AE"/>
    <w:rsid w:val="00E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95DDE"/>
  <w15:chartTrackingRefBased/>
  <w15:docId w15:val="{F7A490CD-3F2B-45A5-99A1-5AB70607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0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0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Renyong</dc:creator>
  <cp:keywords/>
  <dc:description/>
  <cp:lastModifiedBy>Jia Renyong</cp:lastModifiedBy>
  <cp:revision>3</cp:revision>
  <dcterms:created xsi:type="dcterms:W3CDTF">2023-06-12T03:30:00Z</dcterms:created>
  <dcterms:modified xsi:type="dcterms:W3CDTF">2023-06-12T03:40:00Z</dcterms:modified>
</cp:coreProperties>
</file>